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99" w:rsidRDefault="007F4099"/>
    <w:p w:rsidR="001B419E" w:rsidRDefault="007F4099" w:rsidP="009C5B43">
      <w:pPr>
        <w:jc w:val="center"/>
        <w:rPr>
          <w:sz w:val="24"/>
          <w:szCs w:val="24"/>
        </w:rPr>
      </w:pPr>
      <w:r w:rsidRPr="001B419E">
        <w:rPr>
          <w:sz w:val="24"/>
          <w:szCs w:val="24"/>
        </w:rPr>
        <w:t>Sąd Ostateczny Hansa Memlinga</w:t>
      </w:r>
    </w:p>
    <w:p w:rsidR="00CD7CE5" w:rsidRDefault="007F4099" w:rsidP="00B40499">
      <w:r>
        <w:t>(n</w:t>
      </w:r>
      <w:r w:rsidR="00CD7CE5">
        <w:t>otatki z wizyty w MNG</w:t>
      </w:r>
      <w:r>
        <w:t xml:space="preserve">, </w:t>
      </w:r>
      <w:r w:rsidR="00584BC4">
        <w:t>„</w:t>
      </w:r>
      <w:r>
        <w:t>trochę</w:t>
      </w:r>
      <w:r w:rsidR="00584BC4">
        <w:t>”</w:t>
      </w:r>
      <w:r>
        <w:t xml:space="preserve"> poszerzone)</w:t>
      </w:r>
    </w:p>
    <w:p w:rsidR="00B40499" w:rsidRDefault="00B40499" w:rsidP="005E607F">
      <w:pPr>
        <w:spacing w:after="0"/>
      </w:pPr>
      <w:hyperlink r:id="rId5" w:history="1">
        <w:r w:rsidRPr="00CC38AF">
          <w:rPr>
            <w:rStyle w:val="Hipercze"/>
          </w:rPr>
          <w:t>http://www.wga.hu/frames-e.html?/html/m/memling/1early3/index.html</w:t>
        </w:r>
      </w:hyperlink>
    </w:p>
    <w:p w:rsidR="00B40499" w:rsidRDefault="00B40499" w:rsidP="005E607F">
      <w:pPr>
        <w:spacing w:after="0"/>
      </w:pPr>
    </w:p>
    <w:p w:rsidR="001E5018" w:rsidRPr="007F4099" w:rsidRDefault="00CD7CE5" w:rsidP="005E607F">
      <w:pPr>
        <w:pStyle w:val="Akapitzlist"/>
        <w:numPr>
          <w:ilvl w:val="0"/>
          <w:numId w:val="1"/>
        </w:numPr>
        <w:spacing w:after="0"/>
      </w:pPr>
      <w:r>
        <w:t>3 ćwierć XV w – kilku ważnych artystów w Niderlandach</w:t>
      </w:r>
      <w:r w:rsidR="00517E67">
        <w:t xml:space="preserve">: </w:t>
      </w:r>
      <w:r w:rsidRPr="007F4099">
        <w:t xml:space="preserve">– </w:t>
      </w:r>
      <w:proofErr w:type="spellStart"/>
      <w:r w:rsidR="009D60C2" w:rsidRPr="007F4099">
        <w:t>Rogier</w:t>
      </w:r>
      <w:proofErr w:type="spellEnd"/>
      <w:r w:rsidR="009D60C2" w:rsidRPr="007F4099">
        <w:t xml:space="preserve"> </w:t>
      </w:r>
      <w:r w:rsidRPr="007F4099">
        <w:t xml:space="preserve">Van der </w:t>
      </w:r>
      <w:proofErr w:type="spellStart"/>
      <w:r w:rsidRPr="007F4099">
        <w:t>Weyden</w:t>
      </w:r>
      <w:proofErr w:type="spellEnd"/>
      <w:r w:rsidR="009D60C2" w:rsidRPr="007F4099">
        <w:t xml:space="preserve">, </w:t>
      </w:r>
      <w:proofErr w:type="spellStart"/>
      <w:r w:rsidR="009D60C2" w:rsidRPr="007F4099">
        <w:t>Dirk</w:t>
      </w:r>
      <w:proofErr w:type="spellEnd"/>
      <w:r w:rsidR="009D60C2" w:rsidRPr="007F4099">
        <w:t xml:space="preserve"> </w:t>
      </w:r>
      <w:proofErr w:type="spellStart"/>
      <w:r w:rsidR="009D60C2" w:rsidRPr="007F4099">
        <w:t>Bouts</w:t>
      </w:r>
      <w:proofErr w:type="spellEnd"/>
      <w:r w:rsidR="009D60C2" w:rsidRPr="007F4099">
        <w:t>, Jan van Eyck</w:t>
      </w:r>
    </w:p>
    <w:p w:rsidR="001E5018" w:rsidRDefault="001B419E" w:rsidP="005E607F">
      <w:pPr>
        <w:spacing w:after="0"/>
      </w:pPr>
      <w:r>
        <w:t xml:space="preserve">– </w:t>
      </w:r>
      <w:r w:rsidR="009D60C2" w:rsidRPr="00517E67">
        <w:t>z tego kręgu</w:t>
      </w:r>
      <w:r w:rsidR="00517E67">
        <w:t xml:space="preserve"> –</w:t>
      </w:r>
      <w:r w:rsidR="009D60C2" w:rsidRPr="00517E67">
        <w:t xml:space="preserve"> Hans</w:t>
      </w:r>
      <w:r w:rsidR="00517E67">
        <w:t xml:space="preserve"> </w:t>
      </w:r>
      <w:r w:rsidR="009D60C2" w:rsidRPr="00517E67">
        <w:t>Memling</w:t>
      </w:r>
      <w:r w:rsidR="00517E67" w:rsidRPr="00517E67">
        <w:t xml:space="preserve"> – </w:t>
      </w:r>
      <w:r w:rsidR="007F4099">
        <w:t>(</w:t>
      </w:r>
      <w:r w:rsidR="001E5018" w:rsidRPr="001E5018">
        <w:t>ok. </w:t>
      </w:r>
      <w:hyperlink r:id="rId6" w:tooltip="1435" w:history="1">
        <w:r w:rsidR="001E5018" w:rsidRPr="001E5018">
          <w:t>1435</w:t>
        </w:r>
      </w:hyperlink>
      <w:r w:rsidR="001E5018" w:rsidRPr="001E5018">
        <w:t> </w:t>
      </w:r>
      <w:r w:rsidR="007F4099" w:rsidRPr="00517E67">
        <w:t xml:space="preserve">– </w:t>
      </w:r>
      <w:r w:rsidR="001E5018" w:rsidRPr="001E5018">
        <w:t xml:space="preserve"> </w:t>
      </w:r>
      <w:hyperlink r:id="rId7" w:tooltip="11 sierpnia" w:history="1">
        <w:r w:rsidR="001E5018" w:rsidRPr="001E5018">
          <w:t>11</w:t>
        </w:r>
        <w:r w:rsidR="007F4099">
          <w:t>. 08</w:t>
        </w:r>
      </w:hyperlink>
      <w:r w:rsidR="007F4099">
        <w:t xml:space="preserve">. </w:t>
      </w:r>
      <w:hyperlink r:id="rId8" w:tooltip="1494" w:history="1">
        <w:r w:rsidR="001E5018" w:rsidRPr="001E5018">
          <w:t>1494</w:t>
        </w:r>
      </w:hyperlink>
      <w:r w:rsidR="007F4099">
        <w:t>)</w:t>
      </w:r>
    </w:p>
    <w:p w:rsidR="007F4099" w:rsidRDefault="001E5018" w:rsidP="005E607F">
      <w:pPr>
        <w:spacing w:after="0"/>
      </w:pPr>
      <w:r w:rsidRPr="001E5018">
        <w:t>Prawdopodobnie uczył się u </w:t>
      </w:r>
      <w:hyperlink r:id="rId9" w:tooltip="Stefan Lochner" w:history="1">
        <w:r w:rsidRPr="001E5018">
          <w:t xml:space="preserve">Stephana </w:t>
        </w:r>
        <w:proofErr w:type="spellStart"/>
        <w:r w:rsidRPr="001E5018">
          <w:t>Lochnera</w:t>
        </w:r>
        <w:proofErr w:type="spellEnd"/>
      </w:hyperlink>
      <w:r w:rsidRPr="001E5018">
        <w:t> w </w:t>
      </w:r>
      <w:hyperlink r:id="rId10" w:tooltip="Kolonia (Niemcy)" w:history="1">
        <w:r w:rsidRPr="001E5018">
          <w:t>Kolonii</w:t>
        </w:r>
      </w:hyperlink>
      <w:r w:rsidRPr="001E5018">
        <w:t> i u </w:t>
      </w:r>
      <w:proofErr w:type="spellStart"/>
      <w:r w:rsidRPr="00991426">
        <w:rPr>
          <w:b/>
        </w:rPr>
        <w:fldChar w:fldCharType="begin"/>
      </w:r>
      <w:r w:rsidRPr="00991426">
        <w:rPr>
          <w:b/>
        </w:rPr>
        <w:instrText xml:space="preserve"> HYPERLINK "http://pl.wikipedia.org/wiki/Rogier_van_der_Weyden" \o "Rogier van der Weyden" </w:instrText>
      </w:r>
      <w:r w:rsidRPr="00991426">
        <w:rPr>
          <w:b/>
        </w:rPr>
        <w:fldChar w:fldCharType="separate"/>
      </w:r>
      <w:r w:rsidRPr="00991426">
        <w:rPr>
          <w:b/>
        </w:rPr>
        <w:t>Rogiera</w:t>
      </w:r>
      <w:proofErr w:type="spellEnd"/>
      <w:r w:rsidRPr="00991426">
        <w:rPr>
          <w:b/>
        </w:rPr>
        <w:t xml:space="preserve"> van der </w:t>
      </w:r>
      <w:proofErr w:type="spellStart"/>
      <w:r w:rsidRPr="00991426">
        <w:rPr>
          <w:b/>
        </w:rPr>
        <w:t>Weydena</w:t>
      </w:r>
      <w:proofErr w:type="spellEnd"/>
      <w:r w:rsidRPr="00991426">
        <w:rPr>
          <w:b/>
        </w:rPr>
        <w:fldChar w:fldCharType="end"/>
      </w:r>
      <w:r w:rsidRPr="001E5018">
        <w:t> w </w:t>
      </w:r>
      <w:hyperlink r:id="rId11" w:tooltip="Bruksela" w:history="1">
        <w:r w:rsidRPr="001E5018">
          <w:t>Brukseli</w:t>
        </w:r>
      </w:hyperlink>
      <w:r w:rsidRPr="001E5018">
        <w:t>. Od 1465 pracował w </w:t>
      </w:r>
      <w:hyperlink r:id="rId12" w:tooltip="Brugia" w:history="1">
        <w:r w:rsidRPr="001E5018">
          <w:t>Brugii</w:t>
        </w:r>
      </w:hyperlink>
      <w:r w:rsidR="007F4099">
        <w:t xml:space="preserve"> –tam </w:t>
      </w:r>
      <w:r w:rsidRPr="001E5018">
        <w:t>prowadził pracownię, w której zatrudniał wielu uczniów i pomocników.</w:t>
      </w:r>
      <w:r w:rsidR="007F4099" w:rsidRPr="007F4099">
        <w:t xml:space="preserve"> </w:t>
      </w:r>
      <w:r w:rsidR="007F4099">
        <w:t>Zachowało się ok. 30-40 jego dzieł; był dość szybko zapomniany;</w:t>
      </w:r>
      <w:r w:rsidR="006B547A">
        <w:t xml:space="preserve"> </w:t>
      </w:r>
    </w:p>
    <w:p w:rsidR="00DB1819" w:rsidRDefault="001B419E" w:rsidP="005E607F">
      <w:pPr>
        <w:spacing w:after="0"/>
      </w:pPr>
      <w:r>
        <w:t xml:space="preserve">– </w:t>
      </w:r>
      <w:r w:rsidR="007F4099" w:rsidRPr="001B419E">
        <w:rPr>
          <w:b/>
        </w:rPr>
        <w:t>Sąd Ostateczny</w:t>
      </w:r>
      <w:r w:rsidR="007F4099">
        <w:t xml:space="preserve"> </w:t>
      </w:r>
      <w:r w:rsidR="007F4099" w:rsidRPr="00517E67">
        <w:t xml:space="preserve">–  </w:t>
      </w:r>
      <w:r w:rsidR="007F4099">
        <w:t>ukończony 1472/73</w:t>
      </w:r>
      <w:r w:rsidR="007F4099" w:rsidRPr="00517E67">
        <w:t xml:space="preserve"> </w:t>
      </w:r>
      <w:r w:rsidRPr="00517E67">
        <w:t xml:space="preserve">–  </w:t>
      </w:r>
      <w:r w:rsidR="007F4099" w:rsidRPr="00517E67">
        <w:t xml:space="preserve">jego </w:t>
      </w:r>
      <w:r w:rsidR="007F4099">
        <w:t>najlepsze dzieło</w:t>
      </w:r>
      <w:r w:rsidR="005E607F">
        <w:t>.</w:t>
      </w:r>
    </w:p>
    <w:p w:rsidR="005E607F" w:rsidRDefault="005E607F" w:rsidP="005E607F">
      <w:pPr>
        <w:spacing w:after="0"/>
      </w:pPr>
    </w:p>
    <w:p w:rsidR="005E607F" w:rsidRDefault="00517E67" w:rsidP="005E607F">
      <w:pPr>
        <w:pStyle w:val="Akapitzlist"/>
        <w:numPr>
          <w:ilvl w:val="0"/>
          <w:numId w:val="1"/>
        </w:numPr>
        <w:spacing w:after="0"/>
      </w:pPr>
      <w:r>
        <w:t xml:space="preserve">okoliczności powstania </w:t>
      </w:r>
      <w:r w:rsidR="001E5018">
        <w:t xml:space="preserve">dzieła </w:t>
      </w:r>
    </w:p>
    <w:p w:rsidR="00517E67" w:rsidRDefault="005A4881" w:rsidP="005E607F">
      <w:pPr>
        <w:spacing w:after="0"/>
        <w:ind w:left="395"/>
      </w:pPr>
      <w:r>
        <w:t>–</w:t>
      </w:r>
      <w:r w:rsidR="001E5018">
        <w:t xml:space="preserve"> </w:t>
      </w:r>
      <w:r>
        <w:t xml:space="preserve">zamówione przez </w:t>
      </w:r>
      <w:r w:rsidR="005E607F">
        <w:t>Angelo di Jacopo Taniego</w:t>
      </w:r>
      <w:r w:rsidR="009E1313">
        <w:t xml:space="preserve">, </w:t>
      </w:r>
      <w:r w:rsidR="005E607F">
        <w:t>kierownika brugijskiej filii banku Medyceuszów</w:t>
      </w:r>
      <w:r w:rsidR="009E1313">
        <w:t xml:space="preserve"> (ciekawostka – Włoch zamówił niderlandzkie dzieło). R</w:t>
      </w:r>
      <w:r w:rsidR="004C167A">
        <w:t>ok</w:t>
      </w:r>
      <w:r w:rsidR="009E1313">
        <w:t xml:space="preserve"> </w:t>
      </w:r>
      <w:r w:rsidR="004C167A">
        <w:t>po ślubie z młodszą o 30 lat Kata</w:t>
      </w:r>
      <w:r w:rsidR="009E1313">
        <w:t xml:space="preserve">rzyną </w:t>
      </w:r>
      <w:proofErr w:type="spellStart"/>
      <w:r w:rsidR="004C167A">
        <w:t>Tanagli</w:t>
      </w:r>
      <w:proofErr w:type="spellEnd"/>
      <w:r w:rsidR="004C167A">
        <w:t xml:space="preserve">, </w:t>
      </w:r>
      <w:r w:rsidR="009E1313">
        <w:t xml:space="preserve">zepchnięty na podrzędne stanowisko w banku, </w:t>
      </w:r>
      <w:r w:rsidR="004C167A">
        <w:t>sporządził testament, przeznaczając tryptyk do jednego z florenckich kościołów</w:t>
      </w:r>
      <w:r w:rsidR="00667B79">
        <w:t xml:space="preserve"> (o fakcie fundacji świadczą postacie fundatora i jego świeżo zaślubionej żony na odwrociach skrzydeł ołtarzowych; ich tożsamość zaświadczają towarzyszące im herby); Angelo i jego żona po 25 latach od sporządzenia testamentu padli ofiarą epidemii.</w:t>
      </w:r>
    </w:p>
    <w:p w:rsidR="00667B79" w:rsidRDefault="00667B79" w:rsidP="00667B79">
      <w:pPr>
        <w:pStyle w:val="Akapitzlist"/>
        <w:numPr>
          <w:ilvl w:val="0"/>
          <w:numId w:val="1"/>
        </w:numPr>
        <w:spacing w:after="0"/>
      </w:pPr>
      <w:r>
        <w:t xml:space="preserve">losy tryptyku </w:t>
      </w:r>
    </w:p>
    <w:p w:rsidR="009E1313" w:rsidRDefault="00667B79" w:rsidP="00F51FBD">
      <w:pPr>
        <w:spacing w:after="0"/>
        <w:ind w:left="395"/>
      </w:pPr>
      <w:r w:rsidRPr="00517E67">
        <w:t>–</w:t>
      </w:r>
      <w:r>
        <w:t xml:space="preserve"> </w:t>
      </w:r>
      <w:r w:rsidR="009E1313">
        <w:t xml:space="preserve">w kwietniu </w:t>
      </w:r>
      <w:r>
        <w:t>1473</w:t>
      </w:r>
      <w:r w:rsidR="009E1313">
        <w:t>,</w:t>
      </w:r>
      <w:r>
        <w:t xml:space="preserve"> w drugim roku wojny angielsko-hanzeatyckiej</w:t>
      </w:r>
      <w:r w:rsidR="009E1313">
        <w:t>, podróżował do Anglii na pokładzie</w:t>
      </w:r>
      <w:r>
        <w:t xml:space="preserve"> </w:t>
      </w:r>
      <w:r w:rsidR="009E1313">
        <w:t xml:space="preserve">galeonu „Święty Mateusz” (statku włoskiego wydzierżawionego przez Tomasza </w:t>
      </w:r>
      <w:proofErr w:type="spellStart"/>
      <w:r w:rsidR="009E1313">
        <w:t>Portinari</w:t>
      </w:r>
      <w:proofErr w:type="spellEnd"/>
      <w:r w:rsidR="009E1313">
        <w:t xml:space="preserve"> </w:t>
      </w:r>
      <w:r w:rsidR="001B419E">
        <w:t>–</w:t>
      </w:r>
      <w:r w:rsidR="00991426">
        <w:t xml:space="preserve"> </w:t>
      </w:r>
      <w:r w:rsidR="009E1313">
        <w:t>kierownika</w:t>
      </w:r>
      <w:r w:rsidR="001B419E">
        <w:t xml:space="preserve"> </w:t>
      </w:r>
      <w:r w:rsidR="009E1313">
        <w:t>brugijskiej filii banku Medyceuszów, który przyczynił się do degradacji Jacopo Taniego)</w:t>
      </w:r>
      <w:r w:rsidR="00F51FBD">
        <w:t>;</w:t>
      </w:r>
    </w:p>
    <w:p w:rsidR="00991426" w:rsidRDefault="003A043B" w:rsidP="00F51FBD">
      <w:pPr>
        <w:spacing w:after="0"/>
        <w:ind w:firstLine="395"/>
      </w:pPr>
      <w:r w:rsidRPr="00517E67">
        <w:t>–</w:t>
      </w:r>
      <w:r w:rsidR="00991426">
        <w:t xml:space="preserve"> 27 kwietnia „Święty Mateusz” został zaatakowany przez karawelę </w:t>
      </w:r>
      <w:r w:rsidR="00991426" w:rsidRPr="00F51FBD">
        <w:rPr>
          <w:b/>
        </w:rPr>
        <w:t>„Piotr z Gdańska”</w:t>
      </w:r>
      <w:r w:rsidR="00991426">
        <w:t xml:space="preserve"> </w:t>
      </w:r>
      <w:r w:rsidR="00991426" w:rsidRPr="00F51FBD">
        <w:rPr>
          <w:b/>
        </w:rPr>
        <w:t xml:space="preserve">pod komendą Pawła </w:t>
      </w:r>
      <w:proofErr w:type="spellStart"/>
      <w:r w:rsidR="00991426" w:rsidRPr="00F51FBD">
        <w:rPr>
          <w:b/>
        </w:rPr>
        <w:t>Benecke</w:t>
      </w:r>
      <w:proofErr w:type="spellEnd"/>
      <w:r w:rsidR="00991426">
        <w:t xml:space="preserve">, następnie zdobyty i odholowany do portu </w:t>
      </w:r>
      <w:proofErr w:type="spellStart"/>
      <w:r w:rsidR="00991426">
        <w:t>Stade</w:t>
      </w:r>
      <w:proofErr w:type="spellEnd"/>
      <w:r w:rsidR="00991426">
        <w:t xml:space="preserve"> na tere</w:t>
      </w:r>
      <w:r w:rsidR="001B419E">
        <w:t>n</w:t>
      </w:r>
      <w:r w:rsidR="00991426">
        <w:t xml:space="preserve">ie </w:t>
      </w:r>
      <w:proofErr w:type="spellStart"/>
      <w:r w:rsidR="00991426">
        <w:t>arcybisk</w:t>
      </w:r>
      <w:proofErr w:type="spellEnd"/>
      <w:r w:rsidR="00991426">
        <w:t>. br</w:t>
      </w:r>
      <w:r w:rsidR="001B419E">
        <w:t>e</w:t>
      </w:r>
      <w:r w:rsidR="00991426">
        <w:t xml:space="preserve">meńskiego; tam dokonano podziału łupów pomiędzy Pawła </w:t>
      </w:r>
      <w:proofErr w:type="spellStart"/>
      <w:r w:rsidR="00991426">
        <w:t>Benecke</w:t>
      </w:r>
      <w:proofErr w:type="spellEnd"/>
      <w:r w:rsidR="00991426">
        <w:t xml:space="preserve">, jego załogę i współwłaścicieli statku – gdańskich patrycjuszów. Ci ostatni ofiarowali tryptyk do kościoła Panny Marii, gdzie zawisł na długie </w:t>
      </w:r>
      <w:r>
        <w:t>lata.</w:t>
      </w:r>
    </w:p>
    <w:p w:rsidR="003A043B" w:rsidRDefault="003A043B" w:rsidP="00F51FBD">
      <w:pPr>
        <w:spacing w:after="0"/>
      </w:pPr>
      <w:r>
        <w:t xml:space="preserve">// o zwrot </w:t>
      </w:r>
      <w:r w:rsidR="001B419E">
        <w:t xml:space="preserve">dzieła </w:t>
      </w:r>
      <w:r>
        <w:t>intensywnie się upominano – m in. legat papieski i sam papież Sykstus IV – w bulli do Rady Miejskiej Gdańska domagał się zadośćuczynienia dla obywateli florenckich – jednak bezskutecznie</w:t>
      </w:r>
      <w:r w:rsidR="00307529">
        <w:t>.</w:t>
      </w:r>
      <w:r w:rsidR="00F51FBD">
        <w:t>//</w:t>
      </w:r>
    </w:p>
    <w:p w:rsidR="003A043B" w:rsidRDefault="003A043B" w:rsidP="00584BC4">
      <w:pPr>
        <w:spacing w:after="0"/>
        <w:ind w:firstLine="708"/>
      </w:pPr>
      <w:r w:rsidRPr="00517E67">
        <w:t>–</w:t>
      </w:r>
      <w:r>
        <w:t xml:space="preserve"> cesarz Rudolf Habsburg </w:t>
      </w:r>
      <w:r w:rsidR="00307529">
        <w:t xml:space="preserve">(pocz. XVII w.) </w:t>
      </w:r>
      <w:r>
        <w:t xml:space="preserve">proponował </w:t>
      </w:r>
      <w:r w:rsidR="00307529">
        <w:t>władzom miejskim za tryptyk ogromną kwotę 40 tys. złotych guldenów;</w:t>
      </w:r>
    </w:p>
    <w:p w:rsidR="00307529" w:rsidRDefault="00307529" w:rsidP="00F51FBD">
      <w:pPr>
        <w:spacing w:after="0"/>
        <w:ind w:firstLine="708"/>
      </w:pPr>
      <w:r w:rsidRPr="00517E67">
        <w:t>–</w:t>
      </w:r>
      <w:r>
        <w:t xml:space="preserve"> w 1717 r. car Piotr Wielki podczas wizyty w Gdańsku </w:t>
      </w:r>
      <w:r w:rsidR="00F51FBD">
        <w:t xml:space="preserve">(w czasie wojny północnej) </w:t>
      </w:r>
      <w:r>
        <w:t xml:space="preserve">zachwycił się dziełem i zapragnął pozyskać do swojej kolekcji; zażądał go nawet w ramach kontrybucji za wycofanie wojsk ros. z miasta – </w:t>
      </w:r>
      <w:r w:rsidR="001B419E">
        <w:t xml:space="preserve">władze Gd. </w:t>
      </w:r>
      <w:r>
        <w:t>nie zg</w:t>
      </w:r>
      <w:r w:rsidR="001B419E">
        <w:t>odziły się</w:t>
      </w:r>
      <w:r>
        <w:t>;</w:t>
      </w:r>
    </w:p>
    <w:p w:rsidR="00F51FBD" w:rsidRDefault="00307529" w:rsidP="00F51FBD">
      <w:pPr>
        <w:spacing w:after="0"/>
        <w:ind w:firstLine="708"/>
      </w:pPr>
      <w:r w:rsidRPr="00517E67">
        <w:t>–</w:t>
      </w:r>
      <w:r>
        <w:t xml:space="preserve"> </w:t>
      </w:r>
      <w:r w:rsidR="00F51FBD">
        <w:t>1807 – Gdańsk pod władzą Napoleona – tryptyk Memlinga odtransportowany do Luwru</w:t>
      </w:r>
      <w:r w:rsidR="00781D0F">
        <w:t xml:space="preserve">, ściągnięty tam przez barona </w:t>
      </w:r>
      <w:proofErr w:type="spellStart"/>
      <w:r w:rsidR="00781D0F">
        <w:t>Vivanta</w:t>
      </w:r>
      <w:proofErr w:type="spellEnd"/>
      <w:r w:rsidR="00781D0F">
        <w:t xml:space="preserve"> </w:t>
      </w:r>
      <w:proofErr w:type="spellStart"/>
      <w:r w:rsidR="00781D0F">
        <w:t>Denona</w:t>
      </w:r>
      <w:proofErr w:type="spellEnd"/>
      <w:r w:rsidR="00F51FBD">
        <w:t>;</w:t>
      </w:r>
    </w:p>
    <w:p w:rsidR="00307529" w:rsidRDefault="00F51FBD" w:rsidP="00F51FBD">
      <w:pPr>
        <w:spacing w:after="0"/>
      </w:pPr>
      <w:r>
        <w:lastRenderedPageBreak/>
        <w:t xml:space="preserve"> </w:t>
      </w:r>
      <w:r>
        <w:tab/>
      </w:r>
      <w:r w:rsidRPr="00517E67">
        <w:t>–</w:t>
      </w:r>
      <w:r>
        <w:t xml:space="preserve"> po upadku Napoleona – przejęty przez prof. von </w:t>
      </w:r>
      <w:proofErr w:type="spellStart"/>
      <w:r>
        <w:t>Groote</w:t>
      </w:r>
      <w:proofErr w:type="spellEnd"/>
      <w:r>
        <w:t xml:space="preserve"> z Kolonii w ramach rewindykacji zrabowanych dzieł sztuki</w:t>
      </w:r>
      <w:r w:rsidR="00FF6ECF">
        <w:t xml:space="preserve">; nie od razu wrócił do Gdańska – najpierw wystawiony w Berlinie (próby pozyskania go przez berlińczyków – </w:t>
      </w:r>
      <w:r w:rsidR="00506C87">
        <w:t xml:space="preserve">2- letnie </w:t>
      </w:r>
      <w:r w:rsidR="00FF6ECF">
        <w:t>targi z Gdańszczanami – bez sukcesu);</w:t>
      </w:r>
    </w:p>
    <w:p w:rsidR="00FF6ECF" w:rsidRDefault="00FF6ECF" w:rsidP="00FF6ECF">
      <w:pPr>
        <w:spacing w:after="0"/>
        <w:ind w:firstLine="708"/>
      </w:pPr>
      <w:r w:rsidRPr="00517E67">
        <w:t>–</w:t>
      </w:r>
      <w:r>
        <w:t xml:space="preserve"> styczeń 1817 – uroczyste powitanie tryptyku w Gdańsku – znowu zawisa w kościele NMP</w:t>
      </w:r>
    </w:p>
    <w:p w:rsidR="00FF6ECF" w:rsidRDefault="00FF6ECF" w:rsidP="00FF6ECF">
      <w:pPr>
        <w:spacing w:after="0"/>
        <w:ind w:firstLine="708"/>
      </w:pPr>
      <w:r w:rsidRPr="00517E67">
        <w:t>–</w:t>
      </w:r>
      <w:r>
        <w:t xml:space="preserve">  u schyłku II w. św. – wywieziony przez hitlerowców i ukryty w górach </w:t>
      </w:r>
      <w:proofErr w:type="spellStart"/>
      <w:r>
        <w:t>Rhön</w:t>
      </w:r>
      <w:proofErr w:type="spellEnd"/>
      <w:r w:rsidR="009C5B43">
        <w:t xml:space="preserve"> w Turyngii;</w:t>
      </w:r>
    </w:p>
    <w:p w:rsidR="009C5B43" w:rsidRDefault="009C5B43" w:rsidP="00FF6ECF">
      <w:pPr>
        <w:spacing w:after="0"/>
        <w:ind w:firstLine="708"/>
      </w:pPr>
      <w:r w:rsidRPr="00517E67">
        <w:t>–</w:t>
      </w:r>
      <w:r>
        <w:t xml:space="preserve"> odnaleziony tam przez Armię Czerwoną znalazł się w Związku Radzieckim</w:t>
      </w:r>
      <w:r w:rsidR="00584BC4">
        <w:t>,</w:t>
      </w:r>
      <w:r w:rsidR="00506C87">
        <w:t xml:space="preserve"> w Leningradzie</w:t>
      </w:r>
      <w:r>
        <w:t>;</w:t>
      </w:r>
    </w:p>
    <w:p w:rsidR="009C5B43" w:rsidRDefault="009C5B43" w:rsidP="00FF6ECF">
      <w:pPr>
        <w:spacing w:after="0"/>
        <w:ind w:firstLine="708"/>
      </w:pPr>
      <w:r w:rsidRPr="00517E67">
        <w:t>–</w:t>
      </w:r>
      <w:r>
        <w:t xml:space="preserve"> 1956 </w:t>
      </w:r>
      <w:r w:rsidR="00584BC4">
        <w:t>–</w:t>
      </w:r>
      <w:r>
        <w:t xml:space="preserve"> </w:t>
      </w:r>
      <w:r w:rsidR="00506C87">
        <w:t>zwrócony</w:t>
      </w:r>
      <w:r w:rsidR="00584BC4">
        <w:t xml:space="preserve"> </w:t>
      </w:r>
      <w:r w:rsidR="00506C87">
        <w:t>Polsce, po ekspozycji w Warszawie, we wrześniu znalazł się w MNG.</w:t>
      </w:r>
    </w:p>
    <w:p w:rsidR="00506C87" w:rsidRDefault="00506C87" w:rsidP="00FF6ECF">
      <w:pPr>
        <w:spacing w:after="0"/>
        <w:ind w:firstLine="708"/>
      </w:pPr>
    </w:p>
    <w:p w:rsidR="00FF6ECF" w:rsidRDefault="00506C87" w:rsidP="00506C87">
      <w:pPr>
        <w:pStyle w:val="Akapitzlist"/>
        <w:numPr>
          <w:ilvl w:val="0"/>
          <w:numId w:val="1"/>
        </w:numPr>
        <w:spacing w:after="0"/>
      </w:pPr>
      <w:r>
        <w:t>charakterystyka tryptyku</w:t>
      </w:r>
    </w:p>
    <w:p w:rsidR="00506C87" w:rsidRDefault="00506C87" w:rsidP="00506C87">
      <w:pPr>
        <w:spacing w:after="0"/>
        <w:ind w:left="395"/>
      </w:pPr>
      <w:r w:rsidRPr="00517E67">
        <w:t>–</w:t>
      </w:r>
      <w:r>
        <w:t xml:space="preserve"> wykonany 2 technikami: podkład – temperą, wykończenie – olej</w:t>
      </w:r>
    </w:p>
    <w:p w:rsidR="00E6106C" w:rsidRDefault="00506C87" w:rsidP="00506C87">
      <w:pPr>
        <w:spacing w:after="0"/>
        <w:ind w:left="395"/>
      </w:pPr>
      <w:r w:rsidRPr="00517E67">
        <w:t>–</w:t>
      </w:r>
      <w:r>
        <w:t xml:space="preserve"> </w:t>
      </w:r>
      <w:r w:rsidR="00E6106C">
        <w:t>zachowana kolorystyka</w:t>
      </w:r>
    </w:p>
    <w:p w:rsidR="00E6106C" w:rsidRDefault="00E6106C" w:rsidP="00506C87">
      <w:pPr>
        <w:spacing w:after="0"/>
        <w:ind w:left="395"/>
      </w:pPr>
      <w:r w:rsidRPr="00517E67">
        <w:t>–</w:t>
      </w:r>
      <w:r>
        <w:t xml:space="preserve"> ramy pierwotni</w:t>
      </w:r>
      <w:r w:rsidR="00FC2EBD">
        <w:t>e</w:t>
      </w:r>
      <w:r>
        <w:t xml:space="preserve"> czarne, w </w:t>
      </w:r>
      <w:proofErr w:type="spellStart"/>
      <w:r>
        <w:t>poł</w:t>
      </w:r>
      <w:proofErr w:type="spellEnd"/>
      <w:r>
        <w:t>. XIX w. pomalowane na złoto</w:t>
      </w:r>
    </w:p>
    <w:p w:rsidR="00506C87" w:rsidRDefault="00E6106C" w:rsidP="00506C87">
      <w:pPr>
        <w:spacing w:after="0"/>
        <w:ind w:left="395"/>
      </w:pPr>
      <w:r w:rsidRPr="00517E67">
        <w:t>–</w:t>
      </w:r>
      <w:r>
        <w:t xml:space="preserve"> </w:t>
      </w:r>
      <w:r w:rsidR="00506C87">
        <w:t xml:space="preserve"> </w:t>
      </w:r>
      <w:r w:rsidR="003455F0">
        <w:t>zmiany w rysunku postaci na etapie szkiców – twarz postaci na szali „dobra” przemalowana na płytce cynkowej – nie wiadomo, dlaczego</w:t>
      </w:r>
      <w:r w:rsidR="008537A9">
        <w:t>;</w:t>
      </w:r>
    </w:p>
    <w:p w:rsidR="003455F0" w:rsidRDefault="003455F0" w:rsidP="00506C87">
      <w:pPr>
        <w:spacing w:after="0"/>
        <w:ind w:left="395"/>
      </w:pPr>
      <w:r w:rsidRPr="00517E67">
        <w:t>–</w:t>
      </w:r>
      <w:r>
        <w:t xml:space="preserve"> skrzydła dwustronni</w:t>
      </w:r>
      <w:r w:rsidR="0069274F">
        <w:t>e</w:t>
      </w:r>
      <w:r>
        <w:t xml:space="preserve"> obrazowane, na odwrociach </w:t>
      </w:r>
      <w:r w:rsidRPr="0069274F">
        <w:t xml:space="preserve">umieszczone są postacie donatorów w kolorze </w:t>
      </w:r>
      <w:r w:rsidR="00FC2EBD">
        <w:t>(</w:t>
      </w:r>
      <w:r w:rsidRPr="0069274F">
        <w:t xml:space="preserve">Angelo di Jacopo Tani i jego żona Katarzyna z </w:t>
      </w:r>
      <w:proofErr w:type="spellStart"/>
      <w:r w:rsidRPr="0069274F">
        <w:t>Tanaglich</w:t>
      </w:r>
      <w:proofErr w:type="spellEnd"/>
      <w:r w:rsidR="00FC2EBD">
        <w:t xml:space="preserve">) </w:t>
      </w:r>
      <w:r w:rsidRPr="0069274F">
        <w:t>– oraz w technice </w:t>
      </w:r>
      <w:r w:rsidR="0069274F">
        <w:t>„</w:t>
      </w:r>
      <w:hyperlink r:id="rId13" w:tooltip="Grisaille" w:history="1">
        <w:r w:rsidRPr="0069274F">
          <w:t>en grisaille</w:t>
        </w:r>
      </w:hyperlink>
      <w:r w:rsidR="0069274F">
        <w:t>”</w:t>
      </w:r>
      <w:r w:rsidRPr="0069274F">
        <w:t> – Madonna z Dzieciątkiem i Michał Archanioł walczący z diabłem</w:t>
      </w:r>
      <w:r w:rsidR="0069274F">
        <w:t>;</w:t>
      </w:r>
    </w:p>
    <w:p w:rsidR="005E219C" w:rsidRDefault="005E219C" w:rsidP="00C22567">
      <w:pPr>
        <w:pStyle w:val="Akapitzlist"/>
        <w:numPr>
          <w:ilvl w:val="0"/>
          <w:numId w:val="1"/>
        </w:numPr>
        <w:spacing w:after="0"/>
      </w:pPr>
      <w:r>
        <w:t>aranżacja całości</w:t>
      </w:r>
    </w:p>
    <w:p w:rsidR="00C22567" w:rsidRPr="00C22567" w:rsidRDefault="00C22567" w:rsidP="00C22567">
      <w:pPr>
        <w:pStyle w:val="Akapitzlist"/>
        <w:spacing w:after="0"/>
        <w:ind w:left="755"/>
        <w:rPr>
          <w:b/>
        </w:rPr>
      </w:pPr>
      <w:r w:rsidRPr="00C22567">
        <w:rPr>
          <w:b/>
        </w:rPr>
        <w:t>obraz centralny</w:t>
      </w:r>
    </w:p>
    <w:p w:rsidR="00453926" w:rsidRDefault="00453926" w:rsidP="005E219C">
      <w:pPr>
        <w:spacing w:after="0"/>
        <w:ind w:left="395"/>
      </w:pPr>
      <w:r>
        <w:sym w:font="Wingdings" w:char="F0E0"/>
      </w:r>
      <w:r w:rsidR="0069274F">
        <w:t xml:space="preserve"> </w:t>
      </w:r>
      <w:r w:rsidR="00FC2EBD">
        <w:t>centralna posta</w:t>
      </w:r>
      <w:r w:rsidR="005E219C">
        <w:t xml:space="preserve">ć – Chrystus – </w:t>
      </w:r>
      <w:proofErr w:type="spellStart"/>
      <w:r w:rsidR="005E219C" w:rsidRPr="00412FFB">
        <w:rPr>
          <w:i/>
        </w:rPr>
        <w:t>ma</w:t>
      </w:r>
      <w:r w:rsidR="00412FFB" w:rsidRPr="00412FFB">
        <w:rPr>
          <w:i/>
        </w:rPr>
        <w:t>i</w:t>
      </w:r>
      <w:r w:rsidR="005E219C" w:rsidRPr="00412FFB">
        <w:rPr>
          <w:i/>
        </w:rPr>
        <w:t>esta</w:t>
      </w:r>
      <w:r w:rsidR="00412FFB" w:rsidRPr="00412FFB">
        <w:rPr>
          <w:i/>
        </w:rPr>
        <w:t>s</w:t>
      </w:r>
      <w:proofErr w:type="spellEnd"/>
      <w:r w:rsidR="005E219C" w:rsidRPr="00412FFB">
        <w:rPr>
          <w:i/>
        </w:rPr>
        <w:t xml:space="preserve"> </w:t>
      </w:r>
      <w:r w:rsidR="00412FFB" w:rsidRPr="00412FFB">
        <w:rPr>
          <w:i/>
        </w:rPr>
        <w:t>d</w:t>
      </w:r>
      <w:r w:rsidR="005E219C" w:rsidRPr="00412FFB">
        <w:rPr>
          <w:i/>
        </w:rPr>
        <w:t xml:space="preserve">omini </w:t>
      </w:r>
      <w:r w:rsidR="005E219C">
        <w:t>– sędzia, władca wszechświata</w:t>
      </w:r>
      <w:r w:rsidR="00412FFB">
        <w:t xml:space="preserve">, wypreparowany w sferze niebiańskiej – złote tło; </w:t>
      </w:r>
      <w:r>
        <w:t>wokół zaaranżowane wszystkie elementy, dominacja czerwieni</w:t>
      </w:r>
    </w:p>
    <w:p w:rsidR="0069274F" w:rsidRDefault="00E813CE" w:rsidP="005E219C">
      <w:pPr>
        <w:spacing w:after="0"/>
        <w:ind w:left="395"/>
      </w:pPr>
      <w:r>
        <w:t>–</w:t>
      </w:r>
      <w:r w:rsidR="00453926">
        <w:t xml:space="preserve"> </w:t>
      </w:r>
      <w:r w:rsidR="00412FFB">
        <w:t>zasiada na tęczy (prawie okrąg)</w:t>
      </w:r>
      <w:r w:rsidR="004551D3">
        <w:t xml:space="preserve"> – symbol połączenia nieba z ziemią</w:t>
      </w:r>
      <w:r w:rsidR="00453926">
        <w:t xml:space="preserve">, </w:t>
      </w:r>
      <w:r w:rsidR="004551D3">
        <w:t xml:space="preserve">stopy opiera na kuli ziemskiej </w:t>
      </w:r>
      <w:r w:rsidR="007E43A1">
        <w:t>– symbol władzy Chrystusa – figura idealna, boska</w:t>
      </w:r>
      <w:r w:rsidR="00D0668B">
        <w:t xml:space="preserve"> (wówczas jeszcze nie wiedziano, że Ziemia jest kulą) / w kuli i zbroi św. Michała Archanioła odbijają się elementy niewystępujące w przestrzeni obrazu/ – ma miejsce przeniesienie sądu w nadwymiar – typowo niderlandzki zabieg warsztatowy;</w:t>
      </w:r>
    </w:p>
    <w:p w:rsidR="00453926" w:rsidRDefault="00E813CE" w:rsidP="005E219C">
      <w:pPr>
        <w:spacing w:after="0"/>
        <w:ind w:left="395"/>
      </w:pPr>
      <w:r>
        <w:t>–</w:t>
      </w:r>
      <w:r w:rsidR="00453926">
        <w:t xml:space="preserve"> przy głowie Chrystusa – miecz rozpalony do czerwoności i kwiat lilii – symbole sprawiedliwości i miłości;</w:t>
      </w:r>
    </w:p>
    <w:p w:rsidR="00453926" w:rsidRDefault="00453926" w:rsidP="005E219C">
      <w:pPr>
        <w:spacing w:after="0"/>
        <w:ind w:left="395"/>
      </w:pPr>
      <w:r>
        <w:t xml:space="preserve">- </w:t>
      </w:r>
      <w:r w:rsidR="004551D3">
        <w:t xml:space="preserve">cała postać </w:t>
      </w:r>
      <w:r w:rsidR="00E813CE">
        <w:t>S</w:t>
      </w:r>
      <w:r w:rsidR="004551D3">
        <w:t>ędziego – otoczona wieńcem złotych promieni</w:t>
      </w:r>
      <w:r w:rsidR="00ED04FF">
        <w:t xml:space="preserve">, ponad nim – 4 aniołowie trzymają narzędzia męki Pańskiej: kolumnę biczowania, koronę cierniową, lancę i trzcinę z gąbką – typ </w:t>
      </w:r>
      <w:proofErr w:type="spellStart"/>
      <w:r w:rsidR="00ED04FF" w:rsidRPr="00ED04FF">
        <w:rPr>
          <w:i/>
        </w:rPr>
        <w:t>arma</w:t>
      </w:r>
      <w:proofErr w:type="spellEnd"/>
      <w:r w:rsidR="00ED04FF" w:rsidRPr="00ED04FF">
        <w:rPr>
          <w:i/>
        </w:rPr>
        <w:t xml:space="preserve"> </w:t>
      </w:r>
      <w:proofErr w:type="spellStart"/>
      <w:r w:rsidR="00ED04FF" w:rsidRPr="00ED04FF">
        <w:rPr>
          <w:i/>
        </w:rPr>
        <w:t>christi</w:t>
      </w:r>
      <w:proofErr w:type="spellEnd"/>
      <w:r w:rsidR="00ED04FF">
        <w:t>;</w:t>
      </w:r>
    </w:p>
    <w:p w:rsidR="004551D3" w:rsidRDefault="004551D3" w:rsidP="005E219C">
      <w:pPr>
        <w:spacing w:after="0"/>
        <w:ind w:left="395"/>
      </w:pPr>
      <w:r>
        <w:t>- prawa ręka uniesiona w geście błogosławieństwa, lewa – spuszczona w dół – w stronę potępionych</w:t>
      </w:r>
    </w:p>
    <w:p w:rsidR="00ED04FF" w:rsidRDefault="00ED04FF" w:rsidP="005E219C">
      <w:pPr>
        <w:spacing w:after="0"/>
        <w:ind w:left="395"/>
      </w:pPr>
      <w:r>
        <w:sym w:font="Wingdings" w:char="F0E0"/>
      </w:r>
      <w:r>
        <w:t xml:space="preserve"> obok Sędziego – 12 apostołów – </w:t>
      </w:r>
      <w:r w:rsidR="007E43A1">
        <w:t xml:space="preserve">„ława sądowa” – </w:t>
      </w:r>
      <w:r>
        <w:t>symetrycznie po 6 z każdej strony</w:t>
      </w:r>
      <w:r w:rsidR="00E813CE">
        <w:t>;</w:t>
      </w:r>
      <w:r>
        <w:t xml:space="preserve"> </w:t>
      </w:r>
    </w:p>
    <w:p w:rsidR="00ED04FF" w:rsidRDefault="00E813CE" w:rsidP="005E219C">
      <w:pPr>
        <w:spacing w:after="0"/>
        <w:ind w:left="395"/>
      </w:pPr>
      <w:r>
        <w:t>–</w:t>
      </w:r>
      <w:r w:rsidR="00ED04FF">
        <w:t xml:space="preserve"> najbliżej Chrystusa – jakby na I planie – Matka Boska i św. Jan Chrzciciel – grupa </w:t>
      </w:r>
      <w:proofErr w:type="spellStart"/>
      <w:r w:rsidR="00ED04FF" w:rsidRPr="00E813CE">
        <w:rPr>
          <w:i/>
        </w:rPr>
        <w:t>Deesis</w:t>
      </w:r>
      <w:proofErr w:type="spellEnd"/>
      <w:r w:rsidR="00ED04FF">
        <w:t xml:space="preserve"> – </w:t>
      </w:r>
      <w:r w:rsidR="00ED04FF" w:rsidRPr="00ED04FF">
        <w:t>wyraża</w:t>
      </w:r>
      <w:r w:rsidR="00ED04FF">
        <w:t xml:space="preserve"> </w:t>
      </w:r>
      <w:r w:rsidR="00ED04FF" w:rsidRPr="00ED04FF">
        <w:t>wiarę w Maryję, św. Jana i innych świętych, jako przedstawicieli ludzkości i orędowników za grzesznych, proszących </w:t>
      </w:r>
      <w:hyperlink r:id="rId14" w:tooltip="Bóg" w:history="1">
        <w:r w:rsidR="00ED04FF" w:rsidRPr="00ED04FF">
          <w:t>Boga</w:t>
        </w:r>
      </w:hyperlink>
      <w:r w:rsidR="00ED04FF" w:rsidRPr="00ED04FF">
        <w:t> o łaskę</w:t>
      </w:r>
      <w:r w:rsidR="00ED04FF">
        <w:t>;</w:t>
      </w:r>
    </w:p>
    <w:p w:rsidR="00ED04FF" w:rsidRDefault="00ED04FF" w:rsidP="005E219C">
      <w:pPr>
        <w:spacing w:after="0"/>
        <w:ind w:left="395"/>
      </w:pPr>
      <w:r>
        <w:sym w:font="Wingdings" w:char="F0E0"/>
      </w:r>
      <w:r>
        <w:t xml:space="preserve"> pod nimi – aniołowie wzywający na Sąd głosem trąb</w:t>
      </w:r>
      <w:r w:rsidR="006715EA">
        <w:t>;</w:t>
      </w:r>
    </w:p>
    <w:p w:rsidR="006715EA" w:rsidRDefault="00ED04FF" w:rsidP="005E219C">
      <w:pPr>
        <w:spacing w:after="0"/>
        <w:ind w:left="395"/>
      </w:pPr>
      <w:r>
        <w:sym w:font="Wingdings" w:char="F0E0"/>
      </w:r>
      <w:r>
        <w:t xml:space="preserve"> na I planie </w:t>
      </w:r>
      <w:r w:rsidR="007E43A1">
        <w:t>–</w:t>
      </w:r>
      <w:r w:rsidR="006715EA">
        <w:t xml:space="preserve"> św. Michał Archanioł w złocistej zbroi waży ludzkie uczynki, ludzkie dusze  </w:t>
      </w:r>
      <w:r w:rsidR="007E43A1">
        <w:t xml:space="preserve">– </w:t>
      </w:r>
      <w:proofErr w:type="spellStart"/>
      <w:r w:rsidR="006715EA" w:rsidRPr="006715EA">
        <w:rPr>
          <w:i/>
        </w:rPr>
        <w:t>psychostasis</w:t>
      </w:r>
      <w:proofErr w:type="spellEnd"/>
      <w:r w:rsidR="006715EA">
        <w:t>;</w:t>
      </w:r>
    </w:p>
    <w:p w:rsidR="006715EA" w:rsidRDefault="00E813CE" w:rsidP="005E219C">
      <w:pPr>
        <w:spacing w:after="0"/>
        <w:ind w:left="395"/>
      </w:pPr>
      <w:r>
        <w:t>–</w:t>
      </w:r>
      <w:r w:rsidR="006715EA">
        <w:t xml:space="preserve"> w prawej ręce trzyma krzyż procesyjny – znak zwycięstwa, w lewej - wagę</w:t>
      </w:r>
      <w:r w:rsidR="006715EA" w:rsidRPr="006715EA">
        <w:t xml:space="preserve"> </w:t>
      </w:r>
      <w:r w:rsidR="00CD4CC1">
        <w:t>(</w:t>
      </w:r>
      <w:r w:rsidR="006715EA">
        <w:t xml:space="preserve">szala po prawej opadła całkiem w dół – oznacza, że postać na niej klęcząca jest bogata w zasługi u Boga; „lekkiego” potępieńca </w:t>
      </w:r>
      <w:r w:rsidR="00C22567">
        <w:t>z lewej szali już za włosy ciągnie do piekła Szatan</w:t>
      </w:r>
      <w:r w:rsidR="00CD4CC1">
        <w:t>)</w:t>
      </w:r>
      <w:r w:rsidR="00C22567">
        <w:t>;</w:t>
      </w:r>
    </w:p>
    <w:p w:rsidR="008537A9" w:rsidRDefault="00E813CE" w:rsidP="008537A9">
      <w:pPr>
        <w:spacing w:after="0"/>
        <w:ind w:left="395"/>
      </w:pPr>
      <w:r>
        <w:lastRenderedPageBreak/>
        <w:t>–</w:t>
      </w:r>
      <w:r w:rsidR="006715EA">
        <w:t xml:space="preserve"> wokół</w:t>
      </w:r>
      <w:r w:rsidR="006715EA" w:rsidRPr="006715EA">
        <w:t xml:space="preserve"> </w:t>
      </w:r>
      <w:r w:rsidR="00C22567">
        <w:t xml:space="preserve">Archanioła </w:t>
      </w:r>
      <w:r w:rsidR="006715EA">
        <w:t xml:space="preserve">- </w:t>
      </w:r>
      <w:r w:rsidR="007E43A1">
        <w:t xml:space="preserve">otwarte groby, z których powstają zmarli </w:t>
      </w:r>
      <w:r w:rsidR="006715EA">
        <w:t>(wszyscy na obrazie przedstawieni jako dorośli)</w:t>
      </w:r>
      <w:r w:rsidR="00C22567">
        <w:t>;</w:t>
      </w:r>
      <w:r w:rsidR="008537A9" w:rsidRPr="008537A9">
        <w:t xml:space="preserve"> </w:t>
      </w:r>
    </w:p>
    <w:p w:rsidR="008537A9" w:rsidRDefault="00E813CE" w:rsidP="008537A9">
      <w:pPr>
        <w:spacing w:after="0"/>
        <w:ind w:left="395"/>
      </w:pPr>
      <w:r>
        <w:t>–</w:t>
      </w:r>
      <w:r w:rsidR="008537A9">
        <w:t xml:space="preserve"> postaci </w:t>
      </w:r>
      <w:r>
        <w:t xml:space="preserve">na obrazie </w:t>
      </w:r>
      <w:r w:rsidR="008537A9">
        <w:t xml:space="preserve">– według kanonu średniowiecznego: wysokie czoło, spadziste ramiona, rozbudowana partia łonowa, małe piersi, </w:t>
      </w:r>
      <w:r w:rsidR="008537A9" w:rsidRPr="00C22567">
        <w:rPr>
          <w:u w:val="single"/>
        </w:rPr>
        <w:t>rude włosy</w:t>
      </w:r>
      <w:r w:rsidR="008537A9">
        <w:t>;</w:t>
      </w:r>
    </w:p>
    <w:p w:rsidR="00056E68" w:rsidRDefault="00056E68" w:rsidP="005E219C">
      <w:pPr>
        <w:spacing w:after="0"/>
        <w:ind w:left="395"/>
      </w:pPr>
      <w:r>
        <w:sym w:font="Wingdings" w:char="F0E0"/>
      </w:r>
      <w:r>
        <w:t xml:space="preserve"> motyw pawia i pawich piór – dwoistość</w:t>
      </w:r>
      <w:r w:rsidR="00E813CE">
        <w:t>:</w:t>
      </w:r>
      <w:r>
        <w:t xml:space="preserve"> </w:t>
      </w:r>
    </w:p>
    <w:p w:rsidR="00056E68" w:rsidRDefault="00E813CE" w:rsidP="005E219C">
      <w:pPr>
        <w:spacing w:after="0"/>
        <w:ind w:left="395"/>
      </w:pPr>
      <w:r>
        <w:t>–</w:t>
      </w:r>
      <w:r w:rsidR="00056E68">
        <w:t xml:space="preserve"> skrzydła Archanioła Michała – symbol nieśmiertelności (pawie mięso długo się nie psuje) oraz symbol „</w:t>
      </w:r>
      <w:r w:rsidR="00056E68" w:rsidRPr="00056E68">
        <w:rPr>
          <w:u w:val="single"/>
        </w:rPr>
        <w:t>oka</w:t>
      </w:r>
      <w:r w:rsidR="00056E68">
        <w:t xml:space="preserve"> opatrzności Bożej”, ale też</w:t>
      </w:r>
    </w:p>
    <w:p w:rsidR="00056E68" w:rsidRDefault="00E813CE" w:rsidP="005E219C">
      <w:pPr>
        <w:spacing w:after="0"/>
        <w:ind w:left="395"/>
      </w:pPr>
      <w:r>
        <w:t>–</w:t>
      </w:r>
      <w:r w:rsidR="00056E68">
        <w:t xml:space="preserve"> symbol negatywny – diabły z pawim ogonem – symbol pychy, krzyk pawia – przeraźliwy, nieprzyjemny;</w:t>
      </w:r>
    </w:p>
    <w:p w:rsidR="00CD4CC1" w:rsidRDefault="00E813CE" w:rsidP="005E219C">
      <w:pPr>
        <w:spacing w:after="0"/>
        <w:ind w:left="395"/>
      </w:pPr>
      <w:r>
        <w:sym w:font="Wingdings" w:char="F0E0"/>
      </w:r>
      <w:r w:rsidR="00CD4CC1">
        <w:t xml:space="preserve"> płaszcz Archanioła – bogata tkanina z pięknym ornamentem – b. ważny element w sztuce niderlandzkiej</w:t>
      </w:r>
    </w:p>
    <w:p w:rsidR="00056E68" w:rsidRDefault="00056E68" w:rsidP="005E219C">
      <w:pPr>
        <w:spacing w:after="0"/>
        <w:ind w:left="395"/>
      </w:pPr>
      <w:r>
        <w:sym w:font="Wingdings" w:char="F0E0"/>
      </w:r>
      <w:r>
        <w:t xml:space="preserve"> za Archaniołem po prawej – diabeł i anioł przeciągają nieszczęśnika – </w:t>
      </w:r>
      <w:proofErr w:type="spellStart"/>
      <w:r w:rsidRPr="00CD4CC1">
        <w:rPr>
          <w:i/>
        </w:rPr>
        <w:t>psychomachia</w:t>
      </w:r>
      <w:proofErr w:type="spellEnd"/>
      <w:r>
        <w:t xml:space="preserve"> – walka cnoty i występku o duszę ludzką</w:t>
      </w:r>
      <w:r w:rsidR="00CD4CC1">
        <w:t>; diabeł ma skrzydła motyla</w:t>
      </w:r>
      <w:r w:rsidR="008537A9">
        <w:t>/ćmy</w:t>
      </w:r>
      <w:r w:rsidR="00CD4CC1">
        <w:t xml:space="preserve"> – symbol niestałości w wierze (motyw zaczerpnięty ze średniowiecznego bestiariusza)</w:t>
      </w:r>
    </w:p>
    <w:p w:rsidR="00CD4CC1" w:rsidRDefault="00CD4CC1" w:rsidP="00C22567">
      <w:pPr>
        <w:spacing w:after="0"/>
        <w:ind w:left="395" w:firstLine="313"/>
        <w:rPr>
          <w:b/>
        </w:rPr>
      </w:pPr>
    </w:p>
    <w:p w:rsidR="00C22567" w:rsidRPr="00C22567" w:rsidRDefault="00C22567" w:rsidP="00C22567">
      <w:pPr>
        <w:spacing w:after="0"/>
        <w:ind w:left="395" w:firstLine="313"/>
        <w:rPr>
          <w:b/>
        </w:rPr>
      </w:pPr>
      <w:r w:rsidRPr="00C22567">
        <w:rPr>
          <w:b/>
        </w:rPr>
        <w:t>prawa strona tryptyku</w:t>
      </w:r>
      <w:r w:rsidR="00CD4CC1">
        <w:rPr>
          <w:b/>
        </w:rPr>
        <w:t xml:space="preserve"> </w:t>
      </w:r>
    </w:p>
    <w:p w:rsidR="00C22567" w:rsidRDefault="00C22567" w:rsidP="00056E68">
      <w:pPr>
        <w:spacing w:after="0"/>
        <w:ind w:left="395"/>
      </w:pPr>
      <w:r>
        <w:t xml:space="preserve"> </w:t>
      </w:r>
      <w:r>
        <w:sym w:font="Wingdings" w:char="F0E0"/>
      </w:r>
      <w:r w:rsidR="008537A9">
        <w:t xml:space="preserve">wybrani </w:t>
      </w:r>
      <w:r w:rsidR="005C322D">
        <w:t xml:space="preserve">(czyści jak kryształ) </w:t>
      </w:r>
      <w:r w:rsidR="008537A9">
        <w:t>poprzez kwiecistą łąkę p</w:t>
      </w:r>
      <w:r>
        <w:t xml:space="preserve">o </w:t>
      </w:r>
      <w:r w:rsidRPr="00CD4CC1">
        <w:rPr>
          <w:u w:val="single"/>
        </w:rPr>
        <w:t>kryształowych</w:t>
      </w:r>
      <w:r>
        <w:t xml:space="preserve"> schodach </w:t>
      </w:r>
      <w:r w:rsidR="005C322D">
        <w:t xml:space="preserve">wiszących nad przepaścią </w:t>
      </w:r>
      <w:r>
        <w:t>wstępują do wrót raju</w:t>
      </w:r>
      <w:r w:rsidR="008537A9">
        <w:t>, gdzie czeka św. Piotr</w:t>
      </w:r>
      <w:r w:rsidR="00CD4CC1">
        <w:t>;</w:t>
      </w:r>
      <w:r w:rsidR="005C322D">
        <w:t xml:space="preserve"> </w:t>
      </w:r>
    </w:p>
    <w:p w:rsidR="008537A9" w:rsidRDefault="00E813CE" w:rsidP="00CD4CC1">
      <w:pPr>
        <w:spacing w:after="0"/>
        <w:ind w:left="395"/>
      </w:pPr>
      <w:r>
        <w:t>–</w:t>
      </w:r>
      <w:r w:rsidR="008537A9">
        <w:t xml:space="preserve"> na czele pochodu – tiara papieska, czerwony kapelusz kardynalski, biskupia mitra</w:t>
      </w:r>
      <w:r w:rsidR="005C322D">
        <w:t>;</w:t>
      </w:r>
      <w:r w:rsidR="005C322D" w:rsidRPr="005C322D">
        <w:t xml:space="preserve"> </w:t>
      </w:r>
      <w:r w:rsidR="005C322D">
        <w:t>na końcu pochodu – jeszcze na głównym obrazie – Murzyn i postać o rysach semickich</w:t>
      </w:r>
      <w:r w:rsidR="007A4236">
        <w:t>;</w:t>
      </w:r>
    </w:p>
    <w:p w:rsidR="00C22567" w:rsidRDefault="008537A9" w:rsidP="00CD4CC1">
      <w:pPr>
        <w:spacing w:after="0"/>
        <w:ind w:left="395"/>
      </w:pPr>
      <w:r>
        <w:sym w:font="Wingdings" w:char="F0E0"/>
      </w:r>
      <w:r w:rsidR="00CD4CC1">
        <w:t xml:space="preserve"> </w:t>
      </w:r>
      <w:r w:rsidR="00C22567" w:rsidRPr="008537A9">
        <w:t xml:space="preserve"> </w:t>
      </w:r>
      <w:r w:rsidRPr="008537A9">
        <w:t xml:space="preserve">portal </w:t>
      </w:r>
      <w:r>
        <w:t xml:space="preserve">wrót – </w:t>
      </w:r>
      <w:r w:rsidRPr="008537A9">
        <w:t>gotycki</w:t>
      </w:r>
    </w:p>
    <w:p w:rsidR="008537A9" w:rsidRDefault="00E813CE" w:rsidP="00CD4CC1">
      <w:pPr>
        <w:spacing w:after="0"/>
        <w:ind w:left="395"/>
      </w:pPr>
      <w:r>
        <w:t>–</w:t>
      </w:r>
      <w:r w:rsidR="008537A9">
        <w:t xml:space="preserve"> </w:t>
      </w:r>
      <w:r w:rsidR="005C322D">
        <w:t xml:space="preserve">w tympanonie – </w:t>
      </w:r>
      <w:proofErr w:type="spellStart"/>
      <w:r w:rsidR="008537A9" w:rsidRPr="005C322D">
        <w:rPr>
          <w:i/>
        </w:rPr>
        <w:t>maiestas</w:t>
      </w:r>
      <w:proofErr w:type="spellEnd"/>
      <w:r w:rsidR="005C322D" w:rsidRPr="005C322D">
        <w:rPr>
          <w:i/>
        </w:rPr>
        <w:t xml:space="preserve"> </w:t>
      </w:r>
      <w:r w:rsidR="008537A9" w:rsidRPr="005C322D">
        <w:rPr>
          <w:i/>
        </w:rPr>
        <w:t>domini</w:t>
      </w:r>
      <w:r w:rsidR="008F0844">
        <w:t>, u stóp Chrystusa - Baranek</w:t>
      </w:r>
    </w:p>
    <w:p w:rsidR="008537A9" w:rsidRDefault="00E813CE" w:rsidP="00CD4CC1">
      <w:pPr>
        <w:spacing w:after="0"/>
        <w:ind w:left="395"/>
      </w:pPr>
      <w:r>
        <w:t>–</w:t>
      </w:r>
      <w:r w:rsidR="008537A9">
        <w:t xml:space="preserve"> w wimperdze – scena stworzenia </w:t>
      </w:r>
      <w:r w:rsidR="005C322D">
        <w:t xml:space="preserve">Ewy z </w:t>
      </w:r>
      <w:r w:rsidR="008F0844">
        <w:t xml:space="preserve">boku </w:t>
      </w:r>
      <w:r w:rsidR="005C322D">
        <w:t>Adama</w:t>
      </w:r>
    </w:p>
    <w:p w:rsidR="007A4236" w:rsidRDefault="00E813CE" w:rsidP="00CD4CC1">
      <w:pPr>
        <w:spacing w:after="0"/>
        <w:ind w:left="395"/>
      </w:pPr>
      <w:r>
        <w:t>–</w:t>
      </w:r>
      <w:r w:rsidR="007A4236">
        <w:t xml:space="preserve"> na balkonach – anioły – grają i śpiewają – harfa, lutnia, </w:t>
      </w:r>
      <w:proofErr w:type="spellStart"/>
      <w:r w:rsidR="007A4236">
        <w:t>fidel</w:t>
      </w:r>
      <w:proofErr w:type="spellEnd"/>
      <w:r w:rsidR="007A4236">
        <w:t xml:space="preserve">; wyżej – grają na puzonie, na szałamai; rzucają goździki; </w:t>
      </w:r>
      <w:r w:rsidR="008F0844">
        <w:t>muzyka – wyraz radości i nieśmiertelności;</w:t>
      </w:r>
    </w:p>
    <w:p w:rsidR="007A4236" w:rsidRDefault="007A4236" w:rsidP="00CD4CC1">
      <w:pPr>
        <w:spacing w:after="0"/>
        <w:ind w:left="395"/>
      </w:pPr>
      <w:r>
        <w:sym w:font="Wingdings" w:char="F0E0"/>
      </w:r>
      <w:r>
        <w:t xml:space="preserve"> na łące – kwiaty (stokrotki – skromność, fiołki – wstydliwość, pokora, czerwona lilia – krew męczeńska) i kamienie szlachetne (perły – czystość, diament – męstwo, hart ducha, rubin – krew) – symbolika – z jednej strony – odrzucenie dóbr materialnych, z drugiej – zapowiedź cudowności Raju (złote tło za bramą Raju);</w:t>
      </w:r>
      <w:r w:rsidRPr="007A4236">
        <w:t xml:space="preserve"> </w:t>
      </w:r>
    </w:p>
    <w:p w:rsidR="007A4236" w:rsidRPr="008537A9" w:rsidRDefault="007A4236" w:rsidP="00CD4CC1">
      <w:pPr>
        <w:spacing w:after="0"/>
        <w:ind w:left="395"/>
      </w:pPr>
      <w:r>
        <w:t>/Brugia – muzyka na wysokim poziomie – stąd realistyczne elementy muzyczne; również wysoki poziom obróbki kamieni szlachetnych/</w:t>
      </w:r>
    </w:p>
    <w:p w:rsidR="00C22567" w:rsidRDefault="00C22567" w:rsidP="00C22567">
      <w:pPr>
        <w:spacing w:after="0"/>
        <w:ind w:left="395" w:firstLine="313"/>
        <w:rPr>
          <w:b/>
        </w:rPr>
      </w:pPr>
    </w:p>
    <w:p w:rsidR="00C22567" w:rsidRPr="00C22567" w:rsidRDefault="00C22567" w:rsidP="00C22567">
      <w:pPr>
        <w:spacing w:after="0"/>
        <w:ind w:left="395" w:firstLine="313"/>
        <w:rPr>
          <w:b/>
        </w:rPr>
      </w:pPr>
      <w:r>
        <w:rPr>
          <w:b/>
        </w:rPr>
        <w:t xml:space="preserve">lewa </w:t>
      </w:r>
      <w:r w:rsidRPr="00C22567">
        <w:rPr>
          <w:b/>
        </w:rPr>
        <w:t>strona tryptyku</w:t>
      </w:r>
    </w:p>
    <w:p w:rsidR="00C22567" w:rsidRDefault="00C22567" w:rsidP="00C22567">
      <w:pPr>
        <w:spacing w:after="0"/>
      </w:pPr>
      <w:r>
        <w:t xml:space="preserve">      </w:t>
      </w:r>
      <w:r>
        <w:sym w:font="Wingdings" w:char="F0E0"/>
      </w:r>
      <w:r>
        <w:t>potępieni upadają w przepaść, opisując krzywiznę symetryczną do linii ruchu zbawionych</w:t>
      </w:r>
      <w:r w:rsidR="007A4236">
        <w:t xml:space="preserve">, </w:t>
      </w:r>
    </w:p>
    <w:p w:rsidR="008F0844" w:rsidRDefault="00E813CE" w:rsidP="005E219C">
      <w:pPr>
        <w:spacing w:after="0"/>
        <w:ind w:left="395"/>
      </w:pPr>
      <w:r>
        <w:t>–</w:t>
      </w:r>
      <w:r w:rsidR="008F0844">
        <w:t xml:space="preserve"> ciemne tło, </w:t>
      </w:r>
      <w:r w:rsidR="008537A9">
        <w:t>głazy</w:t>
      </w:r>
      <w:r w:rsidR="008F0844">
        <w:t>, skały, buchające płomienie ognia i siarki;</w:t>
      </w:r>
    </w:p>
    <w:p w:rsidR="00C22567" w:rsidRDefault="00E813CE" w:rsidP="005E219C">
      <w:pPr>
        <w:spacing w:after="0"/>
        <w:ind w:left="395"/>
      </w:pPr>
      <w:r>
        <w:t>–</w:t>
      </w:r>
      <w:r w:rsidR="008F0844">
        <w:t xml:space="preserve"> chaos, poskręcane ciała potępionych, na twarzach łzy i przerażenie </w:t>
      </w:r>
    </w:p>
    <w:p w:rsidR="008F0844" w:rsidRDefault="008F0844" w:rsidP="005E219C">
      <w:pPr>
        <w:spacing w:after="0"/>
        <w:ind w:left="395"/>
      </w:pPr>
      <w:r>
        <w:t>ale – brak elementów drastycznych – rany, krew, rozpad ciała</w:t>
      </w:r>
      <w:r w:rsidR="00780762">
        <w:t xml:space="preserve"> – celem jest skłonienie do refleksji;</w:t>
      </w:r>
    </w:p>
    <w:p w:rsidR="006715EA" w:rsidRDefault="00780762" w:rsidP="005E219C">
      <w:pPr>
        <w:spacing w:after="0"/>
        <w:ind w:left="395"/>
      </w:pPr>
      <w:r>
        <w:sym w:font="Wingdings" w:char="F0E0"/>
      </w:r>
      <w:r w:rsidR="008F0844">
        <w:t xml:space="preserve"> </w:t>
      </w:r>
      <w:r>
        <w:t>centralne miejsce – książę piekieł Belzebub, trzyma berło w kształcie maczugi; jego sługa podobny do małpy za pomocą długiego sznura zarzuca sidła na grzeszników; w górze 6 szatanów, duchów burz, spada z potępieńcami na d</w:t>
      </w:r>
      <w:r w:rsidR="00E813CE">
        <w:t>n</w:t>
      </w:r>
      <w:r>
        <w:t>o piekła; u góry – na kształt nietoperza – Lucyfer;</w:t>
      </w:r>
    </w:p>
    <w:p w:rsidR="00780762" w:rsidRDefault="00780762" w:rsidP="005E219C">
      <w:pPr>
        <w:spacing w:after="0"/>
        <w:ind w:left="395"/>
      </w:pPr>
      <w:r>
        <w:t>–  diabły – różne cechy zwierzęce (niedźwiedź – obżarstwo, małpa – lenistwo, nieczystość);</w:t>
      </w:r>
    </w:p>
    <w:p w:rsidR="00780762" w:rsidRDefault="00780762" w:rsidP="005E219C">
      <w:pPr>
        <w:spacing w:after="0"/>
        <w:ind w:left="395"/>
      </w:pPr>
      <w:r>
        <w:sym w:font="Wingdings" w:char="F0E0"/>
      </w:r>
      <w:r>
        <w:t xml:space="preserve"> mężczyźni w wygoloną tonsurą – zakonnicy – te</w:t>
      </w:r>
      <w:r w:rsidR="00E813CE">
        <w:t>ż</w:t>
      </w:r>
      <w:r>
        <w:t xml:space="preserve"> do piekła – bardzo odważne;</w:t>
      </w:r>
    </w:p>
    <w:sectPr w:rsidR="0078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1D76"/>
    <w:multiLevelType w:val="hybridMultilevel"/>
    <w:tmpl w:val="B93A8A8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D7CE5"/>
    <w:rsid w:val="00056E68"/>
    <w:rsid w:val="001B419E"/>
    <w:rsid w:val="001E5018"/>
    <w:rsid w:val="00274892"/>
    <w:rsid w:val="00307529"/>
    <w:rsid w:val="003455F0"/>
    <w:rsid w:val="003A043B"/>
    <w:rsid w:val="00412FFB"/>
    <w:rsid w:val="00453926"/>
    <w:rsid w:val="004551D3"/>
    <w:rsid w:val="004C167A"/>
    <w:rsid w:val="00506C87"/>
    <w:rsid w:val="00517E67"/>
    <w:rsid w:val="00584BC4"/>
    <w:rsid w:val="005A4881"/>
    <w:rsid w:val="005C322D"/>
    <w:rsid w:val="005E219C"/>
    <w:rsid w:val="005E607F"/>
    <w:rsid w:val="00667B79"/>
    <w:rsid w:val="006715EA"/>
    <w:rsid w:val="00674AC5"/>
    <w:rsid w:val="0069274F"/>
    <w:rsid w:val="006B547A"/>
    <w:rsid w:val="00780762"/>
    <w:rsid w:val="00781D0F"/>
    <w:rsid w:val="007A4236"/>
    <w:rsid w:val="007E43A1"/>
    <w:rsid w:val="007F4099"/>
    <w:rsid w:val="008537A9"/>
    <w:rsid w:val="008F0844"/>
    <w:rsid w:val="00991426"/>
    <w:rsid w:val="009B3338"/>
    <w:rsid w:val="009C5B43"/>
    <w:rsid w:val="009D60C2"/>
    <w:rsid w:val="009E1313"/>
    <w:rsid w:val="00B40499"/>
    <w:rsid w:val="00C22567"/>
    <w:rsid w:val="00CD4CC1"/>
    <w:rsid w:val="00CD7CE5"/>
    <w:rsid w:val="00D0668B"/>
    <w:rsid w:val="00DB1819"/>
    <w:rsid w:val="00E6106C"/>
    <w:rsid w:val="00E813CE"/>
    <w:rsid w:val="00ED04FF"/>
    <w:rsid w:val="00F51FBD"/>
    <w:rsid w:val="00FC2EBD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E6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E5018"/>
  </w:style>
  <w:style w:type="character" w:styleId="Hipercze">
    <w:name w:val="Hyperlink"/>
    <w:basedOn w:val="Domylnaczcionkaakapitu"/>
    <w:uiPriority w:val="99"/>
    <w:unhideWhenUsed/>
    <w:rsid w:val="001E50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4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494" TargetMode="External"/><Relationship Id="rId13" Type="http://schemas.openxmlformats.org/officeDocument/2006/relationships/hyperlink" Target="http://pl.wikipedia.org/wiki/Grisai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11_sierpnia" TargetMode="External"/><Relationship Id="rId12" Type="http://schemas.openxmlformats.org/officeDocument/2006/relationships/hyperlink" Target="http://pl.wikipedia.org/wiki/Brug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1435" TargetMode="External"/><Relationship Id="rId11" Type="http://schemas.openxmlformats.org/officeDocument/2006/relationships/hyperlink" Target="http://pl.wikipedia.org/wiki/Bruksela" TargetMode="External"/><Relationship Id="rId5" Type="http://schemas.openxmlformats.org/officeDocument/2006/relationships/hyperlink" Target="http://www.wga.hu/frames-e.html?/html/m/memling/1early3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l.wikipedia.org/wiki/Kolonia_(Niemc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Stefan_Lochner" TargetMode="External"/><Relationship Id="rId14" Type="http://schemas.openxmlformats.org/officeDocument/2006/relationships/hyperlink" Target="http://pl.wikipedia.org/wiki/B%C3%B3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Sulak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</dc:creator>
  <cp:keywords/>
  <dc:description/>
  <cp:lastModifiedBy>Sulak</cp:lastModifiedBy>
  <cp:revision>24</cp:revision>
  <dcterms:created xsi:type="dcterms:W3CDTF">2014-05-12T13:54:00Z</dcterms:created>
  <dcterms:modified xsi:type="dcterms:W3CDTF">2014-05-12T21:44:00Z</dcterms:modified>
</cp:coreProperties>
</file>